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A" w14:textId="7AA428B3" w:rsidR="00DD15DA" w:rsidRPr="00AC7ED0" w:rsidRDefault="007A571C" w:rsidP="007A571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>
        <w:rPr>
          <w:rFonts w:eastAsia="Arial Unicode MS"/>
          <w:color w:val="000000"/>
          <w:sz w:val="20"/>
          <w:szCs w:val="20"/>
          <w:lang w:val="cs-CZ"/>
        </w:rPr>
        <w:t xml:space="preserve">ČESTNÉ PROHLÁŠENÍ </w:t>
      </w:r>
      <w:r w:rsidR="001C685F">
        <w:rPr>
          <w:rFonts w:eastAsia="Arial Unicode MS"/>
          <w:color w:val="000000"/>
          <w:sz w:val="20"/>
          <w:szCs w:val="20"/>
          <w:lang w:val="cs-CZ"/>
        </w:rPr>
        <w:t>S AKCEPTACÍ OBCHODNÍCH PODMÍNEK ZADAVATELE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7451B7F3" w:rsidR="008E671F" w:rsidRPr="00664E24" w:rsidRDefault="00664E2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4E24">
              <w:rPr>
                <w:rFonts w:ascii="Arial" w:hAnsi="Arial" w:cs="Arial"/>
                <w:iCs/>
                <w:sz w:val="20"/>
                <w:szCs w:val="20"/>
              </w:rPr>
              <w:t xml:space="preserve">Nákup </w:t>
            </w:r>
            <w:r w:rsidRPr="00664E24">
              <w:rPr>
                <w:rFonts w:ascii="Arial" w:hAnsi="Arial" w:cs="Arial"/>
                <w:sz w:val="20"/>
                <w:szCs w:val="20"/>
              </w:rPr>
              <w:t>pěnidla do stabilního pěnového hasícího zařízení a požární techniky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2F3E88F2" w:rsidR="008E671F" w:rsidRPr="00AC7ED0" w:rsidRDefault="00664E2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="00594671">
              <w:rPr>
                <w:rFonts w:ascii="Arial" w:hAnsi="Arial" w:cs="Arial"/>
                <w:sz w:val="20"/>
                <w:szCs w:val="20"/>
              </w:rPr>
              <w:t>/25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75F88DD3" w14:textId="77777777" w:rsidR="00C330D4" w:rsidRDefault="00091755" w:rsidP="00091755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02B4F">
        <w:rPr>
          <w:rFonts w:ascii="Arial" w:hAnsi="Arial" w:cs="Arial"/>
          <w:sz w:val="20"/>
          <w:szCs w:val="20"/>
        </w:rPr>
        <w:t xml:space="preserve">Pro účely podání nabídky ve výše uvedeném </w:t>
      </w:r>
      <w:r w:rsidR="00002B4F">
        <w:rPr>
          <w:rFonts w:ascii="Arial" w:hAnsi="Arial" w:cs="Arial"/>
          <w:sz w:val="20"/>
          <w:szCs w:val="20"/>
        </w:rPr>
        <w:t>zadávacím</w:t>
      </w:r>
      <w:r w:rsidRPr="00002B4F">
        <w:rPr>
          <w:rFonts w:ascii="Arial" w:hAnsi="Arial" w:cs="Arial"/>
          <w:sz w:val="20"/>
          <w:szCs w:val="20"/>
        </w:rPr>
        <w:t xml:space="preserve"> řízení</w:t>
      </w:r>
      <w:r w:rsidR="00002B4F">
        <w:rPr>
          <w:rFonts w:ascii="Arial" w:hAnsi="Arial" w:cs="Arial"/>
          <w:sz w:val="20"/>
          <w:szCs w:val="20"/>
        </w:rPr>
        <w:t xml:space="preserve"> s názvem veřejné zakázky „Nákup pěnidla do stabilníh</w:t>
      </w:r>
      <w:r w:rsidR="00C908F6">
        <w:rPr>
          <w:rFonts w:ascii="Arial" w:hAnsi="Arial" w:cs="Arial"/>
          <w:sz w:val="20"/>
          <w:szCs w:val="20"/>
        </w:rPr>
        <w:t>o pěnového hasícího zařízení a požární techniky“</w:t>
      </w:r>
      <w:r w:rsidRPr="00002B4F">
        <w:rPr>
          <w:rFonts w:ascii="Arial" w:hAnsi="Arial" w:cs="Arial"/>
          <w:color w:val="000000"/>
          <w:sz w:val="20"/>
          <w:szCs w:val="20"/>
        </w:rPr>
        <w:t xml:space="preserve">, vyhlášeném obchodní společností </w:t>
      </w:r>
      <w:r w:rsidRPr="00002B4F">
        <w:rPr>
          <w:rFonts w:ascii="Arial" w:hAnsi="Arial" w:cs="Arial"/>
          <w:b/>
          <w:color w:val="000000"/>
          <w:sz w:val="20"/>
          <w:szCs w:val="20"/>
        </w:rPr>
        <w:t>ČEPRO, a.s.</w:t>
      </w:r>
      <w:r w:rsidRPr="00002B4F">
        <w:rPr>
          <w:rFonts w:ascii="Arial" w:hAnsi="Arial" w:cs="Arial"/>
          <w:color w:val="000000"/>
          <w:sz w:val="20"/>
          <w:szCs w:val="20"/>
        </w:rPr>
        <w:t xml:space="preserve">, IČO: </w:t>
      </w:r>
      <w:r w:rsidRPr="00002B4F">
        <w:rPr>
          <w:rFonts w:ascii="Arial" w:hAnsi="Arial" w:cs="Arial"/>
          <w:bCs/>
          <w:color w:val="000000"/>
          <w:sz w:val="20"/>
          <w:szCs w:val="20"/>
        </w:rPr>
        <w:t>60193531</w:t>
      </w:r>
      <w:r w:rsidRPr="00002B4F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Pr="00002B4F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Pr="00C330D4">
        <w:rPr>
          <w:rFonts w:ascii="Arial" w:hAnsi="Arial" w:cs="Arial"/>
          <w:bCs/>
          <w:color w:val="000000"/>
          <w:sz w:val="20"/>
          <w:szCs w:val="20"/>
        </w:rPr>
        <w:t>,</w:t>
      </w:r>
      <w:r w:rsidR="00C330D4" w:rsidRPr="00C330D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330D4" w:rsidRPr="00C330D4">
        <w:rPr>
          <w:rFonts w:ascii="Arial" w:hAnsi="Arial" w:cs="Arial"/>
          <w:color w:val="000000"/>
          <w:sz w:val="20"/>
          <w:szCs w:val="20"/>
        </w:rPr>
        <w:t>ve smyslu ust. § 4 odst. 5 zákona č. 134/2016 Sb., o zadávání veřejných zakázek, ve znění pozdějších předpisů</w:t>
      </w:r>
      <w:r w:rsidR="00C330D4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48C774B9" w14:textId="4BA78DD2" w:rsidR="00091755" w:rsidRPr="00C330D4" w:rsidRDefault="00091755" w:rsidP="00091755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330D4">
        <w:rPr>
          <w:rFonts w:ascii="Arial" w:hAnsi="Arial" w:cs="Arial"/>
          <w:bCs/>
          <w:color w:val="000000"/>
          <w:sz w:val="20"/>
          <w:szCs w:val="20"/>
        </w:rPr>
        <w:t>já, níže podepsaná/ý jménem Dodavatele čestně prohlašuji a zavazuji se, že:</w:t>
      </w:r>
    </w:p>
    <w:p w14:paraId="26D5AA76" w14:textId="77777777" w:rsidR="00091755" w:rsidRDefault="00091755" w:rsidP="00091755">
      <w:pPr>
        <w:jc w:val="both"/>
        <w:rPr>
          <w:rFonts w:ascii="Arial" w:hAnsi="Arial" w:cs="Arial"/>
          <w:bCs/>
          <w:color w:val="000000"/>
        </w:rPr>
      </w:pPr>
    </w:p>
    <w:p w14:paraId="6DF92EC1" w14:textId="68E8B02C" w:rsidR="00091755" w:rsidRDefault="00091755" w:rsidP="000C6FCD">
      <w:pPr>
        <w:pStyle w:val="Odstavecseseznamem"/>
        <w:numPr>
          <w:ilvl w:val="0"/>
          <w:numId w:val="32"/>
        </w:numPr>
        <w:suppressAutoHyphens/>
        <w:spacing w:before="0"/>
        <w:contextualSpacing w:val="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Dodavatel bezvýhradně akceptuje obchodní, platební a jiné podmínky pro účely </w:t>
      </w:r>
      <w:r w:rsidR="00C330D4">
        <w:rPr>
          <w:rFonts w:cs="Arial"/>
          <w:bCs/>
          <w:color w:val="000000"/>
        </w:rPr>
        <w:t xml:space="preserve">veřejné </w:t>
      </w:r>
      <w:r>
        <w:rPr>
          <w:rFonts w:cs="Arial"/>
          <w:bCs/>
          <w:color w:val="000000"/>
        </w:rPr>
        <w:t xml:space="preserve">zakázky uvedené v zadávací dokumentaci a ve znění všeobecných obchodních podmínek, jež jsou dostupné na adrese </w:t>
      </w:r>
      <w:hyperlink r:id="rId12" w:history="1">
        <w:r w:rsidRPr="000C1672">
          <w:rPr>
            <w:rStyle w:val="Hypertextovodkaz"/>
            <w:rFonts w:cs="Arial"/>
          </w:rPr>
          <w:t>https://www.ceproas.cz/vyberova-rizeni/zverejneni-poptavek</w:t>
        </w:r>
      </w:hyperlink>
    </w:p>
    <w:p w14:paraId="0B83A3AB" w14:textId="77777777" w:rsidR="00091755" w:rsidRDefault="00091755" w:rsidP="00091755">
      <w:pPr>
        <w:pStyle w:val="Odstavecseseznamem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a dále</w:t>
      </w:r>
    </w:p>
    <w:p w14:paraId="542A8CD8" w14:textId="59CF2B87" w:rsidR="00091755" w:rsidRPr="00E11ED0" w:rsidRDefault="00091755" w:rsidP="000C6FCD">
      <w:pPr>
        <w:pStyle w:val="Odstavecseseznamem"/>
        <w:numPr>
          <w:ilvl w:val="0"/>
          <w:numId w:val="32"/>
        </w:numPr>
        <w:suppressAutoHyphens/>
        <w:spacing w:before="0"/>
        <w:contextualSpacing w:val="0"/>
        <w:rPr>
          <w:rFonts w:cs="Arial"/>
          <w:bCs/>
          <w:color w:val="000000"/>
        </w:rPr>
      </w:pPr>
      <w:r w:rsidRPr="00514C6F">
        <w:rPr>
          <w:rFonts w:cs="Arial"/>
          <w:bCs/>
          <w:color w:val="000000"/>
        </w:rPr>
        <w:t xml:space="preserve">Dodavatel </w:t>
      </w:r>
      <w:r w:rsidRPr="00514C6F">
        <w:rPr>
          <w:rFonts w:cs="Arial"/>
        </w:rPr>
        <w:t xml:space="preserve">používá </w:t>
      </w:r>
      <w:r>
        <w:rPr>
          <w:rFonts w:cs="Arial"/>
        </w:rPr>
        <w:t xml:space="preserve">jím </w:t>
      </w:r>
      <w:r w:rsidRPr="00514C6F">
        <w:rPr>
          <w:rFonts w:cs="Arial"/>
        </w:rPr>
        <w:t xml:space="preserve">uvedený bankovní účet výlučně pro podnikatelské účely (ekonomickou činnost) a tento bankovní účet hodlá využívat v rámci uzavřeného smluvního vztahu uzavřeného na základě </w:t>
      </w:r>
      <w:r w:rsidR="00B63527">
        <w:rPr>
          <w:rFonts w:cs="Arial"/>
        </w:rPr>
        <w:t>zadávacího</w:t>
      </w:r>
      <w:r w:rsidRPr="00514C6F">
        <w:rPr>
          <w:rFonts w:cs="Arial"/>
        </w:rPr>
        <w:t xml:space="preserve"> řízení ke shora uvedené zakázce</w:t>
      </w:r>
      <w:r>
        <w:rPr>
          <w:rFonts w:cs="Arial"/>
        </w:rPr>
        <w:t xml:space="preserve">, a současně </w:t>
      </w:r>
      <w:r w:rsidRPr="00514C6F">
        <w:rPr>
          <w:rFonts w:cs="Arial"/>
        </w:rPr>
        <w:t xml:space="preserve">je-li </w:t>
      </w:r>
      <w:r>
        <w:rPr>
          <w:rFonts w:cs="Arial"/>
        </w:rPr>
        <w:t xml:space="preserve">Dodavatel </w:t>
      </w:r>
      <w:r w:rsidRPr="00514C6F">
        <w:rPr>
          <w:rFonts w:cs="Arial"/>
        </w:rPr>
        <w:t xml:space="preserve">plátcem daně z přidané hodnoty, má </w:t>
      </w:r>
      <w:r>
        <w:rPr>
          <w:rFonts w:cs="Arial"/>
        </w:rPr>
        <w:t xml:space="preserve">jím </w:t>
      </w:r>
      <w:r w:rsidRPr="00514C6F">
        <w:rPr>
          <w:rFonts w:cs="Arial"/>
        </w:rPr>
        <w:t xml:space="preserve">uvedený bankovní účet zveřejněn správcem daně v databázi registru plátce daně z přidané hodnoty nebo, o jeho zveřejnění </w:t>
      </w:r>
      <w:r>
        <w:rPr>
          <w:rFonts w:cs="Arial"/>
        </w:rPr>
        <w:t>D</w:t>
      </w:r>
      <w:r w:rsidRPr="00514C6F">
        <w:rPr>
          <w:rFonts w:cs="Arial"/>
        </w:rPr>
        <w:t xml:space="preserve">odavatel správce daně požádal, a tento bankovní účet bude správcem </w:t>
      </w:r>
      <w:r>
        <w:rPr>
          <w:rFonts w:cs="Arial"/>
        </w:rPr>
        <w:t xml:space="preserve"> daně v databázi registru plátce daně zveřejněn,</w:t>
      </w:r>
    </w:p>
    <w:p w14:paraId="7F6A1D5F" w14:textId="77777777" w:rsidR="00091755" w:rsidRPr="009D39E2" w:rsidRDefault="00091755" w:rsidP="000C6FCD">
      <w:pPr>
        <w:pStyle w:val="Odstavecseseznamem"/>
        <w:numPr>
          <w:ilvl w:val="0"/>
          <w:numId w:val="32"/>
        </w:numPr>
        <w:suppressAutoHyphens/>
        <w:spacing w:before="0"/>
        <w:contextualSpacing w:val="0"/>
        <w:rPr>
          <w:rFonts w:cs="Arial"/>
          <w:bCs/>
          <w:color w:val="000000"/>
        </w:rPr>
      </w:pPr>
      <w:r>
        <w:rPr>
          <w:rFonts w:cs="Arial"/>
        </w:rPr>
        <w:t xml:space="preserve">Dodavatel se zavazuje a je </w:t>
      </w:r>
      <w:r w:rsidRPr="001A506B">
        <w:rPr>
          <w:rFonts w:cs="Arial"/>
        </w:rPr>
        <w:t>povinen dodržovat požadavky související s bezpečností a ochranou zdraví při práci, ochranou majetku, požární ochranou, s ochranou životního prostředí, prevencí závažných havárií a další bezpečnostní požadavky, které jsou stanoveny obecně závaznými právními předpisy a vnitřními předpisy zadavatele</w:t>
      </w:r>
      <w:r>
        <w:rPr>
          <w:rFonts w:cs="Arial"/>
        </w:rPr>
        <w:t>, zejména v Registru bezpečnostních požadavků, a Dodavatel si je vědom a souhlasí, že v případě nedodržení takových požadavků ze strany Dodavatel je zadavatel oprávněn ukládat dodavateli nápravná opatření a sjednané sankce,</w:t>
      </w:r>
    </w:p>
    <w:p w14:paraId="24F5BCBA" w14:textId="087E23F7" w:rsidR="00091755" w:rsidRDefault="00091755" w:rsidP="000C6FCD">
      <w:pPr>
        <w:pStyle w:val="Odstavecseseznamem"/>
        <w:numPr>
          <w:ilvl w:val="0"/>
          <w:numId w:val="32"/>
        </w:numPr>
        <w:suppressAutoHyphens/>
        <w:spacing w:before="0"/>
        <w:contextualSpacing w:val="0"/>
        <w:rPr>
          <w:rFonts w:cs="Arial"/>
        </w:rPr>
      </w:pPr>
      <w:r w:rsidRPr="00225353">
        <w:rPr>
          <w:rFonts w:cs="Arial"/>
          <w:bCs/>
          <w:color w:val="000000"/>
        </w:rPr>
        <w:t>Dodavatel má po celou dobu trvání smluvního vztahu zajištěno a sjednáno pojištění,</w:t>
      </w:r>
      <w:r>
        <w:rPr>
          <w:rFonts w:cs="Arial"/>
          <w:bCs/>
          <w:color w:val="000000"/>
        </w:rPr>
        <w:t xml:space="preserve"> jehož </w:t>
      </w:r>
      <w:r w:rsidRPr="00225353">
        <w:rPr>
          <w:rFonts w:cs="Arial"/>
        </w:rPr>
        <w:t>předmětem je pojištění odpovědnosti za škodu způsobenou dodavatelem třetí osobě vzniklou v souvislosti s výkonem jeho podnikatelské činnosti a pro případ odpovědnosti za škodu na majetku</w:t>
      </w:r>
      <w:r w:rsidR="00E11E03">
        <w:rPr>
          <w:rFonts w:cs="Arial"/>
        </w:rPr>
        <w:t xml:space="preserve"> </w:t>
      </w:r>
      <w:r w:rsidR="00E11E03">
        <w:rPr>
          <w:rFonts w:cs="Arial"/>
        </w:rPr>
        <w:t>a pojištění pro případ odpovědnosti za škodu na životním prostředí</w:t>
      </w:r>
      <w:r w:rsidRPr="00225353">
        <w:rPr>
          <w:rFonts w:cs="Arial"/>
        </w:rPr>
        <w:t>, ve výši min.</w:t>
      </w:r>
      <w:r w:rsidRPr="007234C1">
        <w:rPr>
          <w:rFonts w:cs="Arial"/>
        </w:rPr>
        <w:t xml:space="preserve"> </w:t>
      </w:r>
      <w:r w:rsidR="00B63527">
        <w:rPr>
          <w:rFonts w:cs="Arial"/>
        </w:rPr>
        <w:t>1</w:t>
      </w:r>
      <w:r>
        <w:rPr>
          <w:rFonts w:cs="Arial"/>
        </w:rPr>
        <w:t> </w:t>
      </w:r>
      <w:r w:rsidRPr="007234C1">
        <w:rPr>
          <w:rFonts w:cs="Arial"/>
        </w:rPr>
        <w:t>000</w:t>
      </w:r>
      <w:r>
        <w:rPr>
          <w:rFonts w:cs="Arial"/>
        </w:rPr>
        <w:t> </w:t>
      </w:r>
      <w:r w:rsidRPr="007234C1">
        <w:rPr>
          <w:rFonts w:cs="Arial"/>
        </w:rPr>
        <w:t>000</w:t>
      </w:r>
      <w:r>
        <w:rPr>
          <w:rFonts w:cs="Arial"/>
        </w:rPr>
        <w:t>,- Kč,</w:t>
      </w:r>
    </w:p>
    <w:p w14:paraId="0842D7E7" w14:textId="77777777" w:rsidR="000C6FCD" w:rsidRDefault="00091755" w:rsidP="000C6FCD">
      <w:pPr>
        <w:pStyle w:val="Odstavecseseznamem"/>
        <w:numPr>
          <w:ilvl w:val="0"/>
          <w:numId w:val="32"/>
        </w:numPr>
        <w:suppressAutoHyphens/>
        <w:contextualSpacing w:val="0"/>
        <w:rPr>
          <w:rFonts w:cs="Arial"/>
        </w:rPr>
      </w:pPr>
      <w:r>
        <w:rPr>
          <w:rFonts w:cs="Arial"/>
        </w:rPr>
        <w:t>Dodavatel</w:t>
      </w:r>
      <w:r w:rsidRPr="008104BC">
        <w:rPr>
          <w:rFonts w:cs="Arial"/>
        </w:rPr>
        <w:t xml:space="preserve"> bere na vědomí a souhlasí se zveřejněním smluvního vztahu, jež bude výsledkem tohoto řízení</w:t>
      </w:r>
      <w:r>
        <w:rPr>
          <w:rFonts w:cs="Arial"/>
        </w:rPr>
        <w:t xml:space="preserve"> </w:t>
      </w:r>
      <w:r w:rsidRPr="008104BC">
        <w:rPr>
          <w:rFonts w:cs="Arial"/>
        </w:rPr>
        <w:t>v souladu s podmínkami zákona č. 340/2015 Sb., o zvláštních podmínkách účinnosti některých smluv, uveřejňování těchto smluv a o registru smluv (zákon o registru smluv), v platném znění</w:t>
      </w:r>
      <w:r>
        <w:rPr>
          <w:rFonts w:cs="Arial"/>
        </w:rPr>
        <w:t>,</w:t>
      </w:r>
    </w:p>
    <w:p w14:paraId="334F218D" w14:textId="7CF9393F" w:rsidR="00091755" w:rsidRDefault="000C6FCD" w:rsidP="000C6FCD">
      <w:pPr>
        <w:pStyle w:val="Odstavecseseznamem"/>
        <w:numPr>
          <w:ilvl w:val="0"/>
          <w:numId w:val="32"/>
        </w:numPr>
        <w:suppressAutoHyphens/>
        <w:contextualSpacing w:val="0"/>
        <w:rPr>
          <w:rFonts w:cs="Arial"/>
        </w:rPr>
      </w:pPr>
      <w:r>
        <w:rPr>
          <w:rFonts w:cs="Arial"/>
        </w:rPr>
        <w:lastRenderedPageBreak/>
        <w:t>Dodavatel bere na vědomí a zavazuje se</w:t>
      </w:r>
      <w:r w:rsidR="007F5485">
        <w:rPr>
          <w:rFonts w:cs="Arial"/>
        </w:rPr>
        <w:t>, že</w:t>
      </w:r>
    </w:p>
    <w:p w14:paraId="6E5B26A2" w14:textId="39B0514E" w:rsidR="000C6FCD" w:rsidRDefault="000C6FCD" w:rsidP="007F5485">
      <w:pPr>
        <w:pStyle w:val="Odstavecseseznamem"/>
        <w:numPr>
          <w:ilvl w:val="1"/>
          <w:numId w:val="32"/>
        </w:numPr>
        <w:suppressAutoHyphens/>
        <w:contextualSpacing w:val="0"/>
      </w:pPr>
      <w:r w:rsidRPr="008D38CD">
        <w:t>při plnění předmětu veřejné zakázky zajist</w:t>
      </w:r>
      <w:r w:rsidR="007F5485">
        <w:t>í</w:t>
      </w:r>
      <w:r w:rsidRPr="008D38CD">
        <w:t xml:space="preserve"> dodržování pracovně-právních předpisů (zákoník práce a zákon o zaměstnanosti) a z nich vyplývajících povinností zejména ve vztahu k odměňování zaměstnanců, dodržování délky pracovní doby, dodržování délky odpočinku, zaměstnávání cizinců a dodržování podmínek bezpečnosti a ochrany zdraví při práci, a to pro všechny osoby, které se budou na plnění předmětu veřejné zakázky podílet</w:t>
      </w:r>
      <w:r w:rsidR="007F5485">
        <w:t xml:space="preserve"> a že</w:t>
      </w:r>
    </w:p>
    <w:p w14:paraId="4690B724" w14:textId="1EC20CF7" w:rsidR="007F5485" w:rsidRPr="008D38CD" w:rsidRDefault="007F5485" w:rsidP="007F5485">
      <w:pPr>
        <w:pStyle w:val="Odstavecseseznamem"/>
        <w:numPr>
          <w:ilvl w:val="1"/>
          <w:numId w:val="32"/>
        </w:numPr>
        <w:suppressAutoHyphens/>
        <w:contextualSpacing w:val="0"/>
      </w:pPr>
      <w:r>
        <w:t xml:space="preserve">všechny </w:t>
      </w:r>
      <w:r w:rsidRPr="008D38CD">
        <w:t>platby poddodavatelům, pokud se budou podílet na realizaci veřejné zakázky, budou hrazeny řádně a včas.</w:t>
      </w:r>
    </w:p>
    <w:p w14:paraId="46F3DE36" w14:textId="50AE984A" w:rsidR="000C6FCD" w:rsidRDefault="007B6B2F" w:rsidP="000C6FCD">
      <w:pPr>
        <w:pStyle w:val="Odstavecseseznamem"/>
        <w:numPr>
          <w:ilvl w:val="0"/>
          <w:numId w:val="32"/>
        </w:numPr>
        <w:suppressAutoHyphens/>
        <w:contextualSpacing w:val="0"/>
        <w:rPr>
          <w:rFonts w:cs="Arial"/>
        </w:rPr>
      </w:pPr>
      <w:r>
        <w:rPr>
          <w:rFonts w:cs="Arial"/>
        </w:rPr>
        <w:t xml:space="preserve">Dodavatel bere na vědomí a zavazuje se </w:t>
      </w:r>
      <w:r w:rsidR="001B37DF">
        <w:rPr>
          <w:rFonts w:cs="Arial"/>
        </w:rPr>
        <w:t>dodržovat Compliance doložku platnou po celou dobu trvání smluvního vztahu mezi zadavatelem a dodavatelem, jež bude uzavřen na základě výsledku zadávacího řízení předmětné veřejné zakázky</w:t>
      </w:r>
      <w:r w:rsidR="00C729ED">
        <w:rPr>
          <w:rFonts w:cs="Arial"/>
        </w:rPr>
        <w:t xml:space="preserve"> v tomto rozsahu:</w:t>
      </w:r>
    </w:p>
    <w:p w14:paraId="2D748FD3" w14:textId="356DCE93" w:rsidR="007B6B2F" w:rsidRPr="00C729ED" w:rsidRDefault="007B6B2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C2536C">
        <w:rPr>
          <w:rFonts w:cs="Arial"/>
          <w:u w:val="single"/>
        </w:rPr>
        <w:t>Compliance doložka:</w:t>
      </w:r>
      <w:r>
        <w:rPr>
          <w:rFonts w:cs="Arial"/>
        </w:rPr>
        <w:t xml:space="preserve"> </w:t>
      </w:r>
      <w:r w:rsidRPr="00DE70C2">
        <w:t xml:space="preserve">Smluvní strany se zavazují jednat a přijmout taková opatření, aby nevzniklo jakékoliv důvodné podezření ze spáchání trestného činu či nedošlo k samotnému spáchání trestného činu (včetně formy účastenství), které by mohlo být jakékoliv ze </w:t>
      </w:r>
      <w:r>
        <w:t>s</w:t>
      </w:r>
      <w:r w:rsidRPr="00DE70C2">
        <w:t xml:space="preserve">mluvních stran přičteno podle zákona č. 418/2011 Sb., o trestní odpovědnosti právnických osob a řízení proti nim, nebo nevznikla trestní odpovědnost fyzických osob (včetně zaměstnanců) podle trestního zákona č. 40/2009 Sb., případně nebylo zahájeno trestní stíhání proti jakékoliv ze </w:t>
      </w:r>
      <w:r>
        <w:t>s</w:t>
      </w:r>
      <w:r w:rsidRPr="00DE70C2">
        <w:t xml:space="preserve">mluvních stran včetně jejich zaměstnanců podle platných právních předpisů. </w:t>
      </w:r>
      <w:r>
        <w:t>Dodavatel</w:t>
      </w:r>
      <w:r w:rsidRPr="00DE70C2">
        <w:t xml:space="preserve"> prohlašuje, že se seznámila s Etickým kodexem pro obchodní partnery společnosti ČEPRO, a.s. a veřejnost v platném znění (dále jen „</w:t>
      </w:r>
      <w:r w:rsidRPr="00E2557E">
        <w:rPr>
          <w:b/>
        </w:rPr>
        <w:t>Etický kodex</w:t>
      </w:r>
      <w:r w:rsidRPr="00DE70C2">
        <w:t>“) a zavazuje se tento dodržovat na vlastní náklady a odpovědnost při plnění svých závazků vzniklých z</w:t>
      </w:r>
      <w:r>
        <w:t>e s</w:t>
      </w:r>
      <w:r w:rsidRPr="00DE70C2">
        <w:t xml:space="preserve">mlouvy. Etický kodex v platném znění je uveřejněn na webových stránkách ČEPRO, a.s. </w:t>
      </w:r>
      <w:hyperlink r:id="rId13" w:history="1">
        <w:r w:rsidRPr="00DE70C2">
          <w:rPr>
            <w:rStyle w:val="Hypertextovodkaz"/>
          </w:rPr>
          <w:t>www.ceproas.cz</w:t>
        </w:r>
      </w:hyperlink>
      <w:r w:rsidRPr="00DE70C2">
        <w:t xml:space="preserve">. </w:t>
      </w:r>
      <w:r>
        <w:t>Zadavatel</w:t>
      </w:r>
      <w:r w:rsidRPr="00DE70C2">
        <w:t xml:space="preserve"> je oprávněn Etický kodex jednostranně měnit k 31. 12. příslušného kalendářního roku, přičemž Etický kodex v aktuálním znění v případě změny vždy k tomuto datu zveřejní na shora uvedených webových stránkách.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DE70C2">
        <w:t xml:space="preserve">mluvní strana povinna neprodleně oznámit druhé </w:t>
      </w:r>
      <w:r>
        <w:t>s</w:t>
      </w:r>
      <w:r w:rsidRPr="00DE70C2">
        <w:t>mluvní straně bez ohledu a nad rámec splnění případné zákonné oznamovací povinnosti.</w:t>
      </w:r>
      <w:r>
        <w:t xml:space="preserve"> Dodavate</w:t>
      </w:r>
      <w:r w:rsidRPr="00DE70C2">
        <w:t>l se</w:t>
      </w:r>
      <w:r>
        <w:t xml:space="preserve"> uzavřením smlouvy</w:t>
      </w:r>
      <w:r w:rsidRPr="00DE70C2">
        <w:t xml:space="preserve"> zavazuje a prohlašuje, že naplňuje a bude po celou dobu trvání </w:t>
      </w:r>
      <w:r>
        <w:t>s</w:t>
      </w:r>
      <w:r w:rsidRPr="00DE70C2">
        <w:t xml:space="preserve">mlouvy dodržovat a splňovat kritéria a standardy chování společnosti ČEPRO, a.s. v obchodním styku, specifikované a </w:t>
      </w:r>
      <w:r>
        <w:t>zadavatelem</w:t>
      </w:r>
      <w:r w:rsidRPr="00DE70C2">
        <w:t xml:space="preserve"> uveřejněné na adrese </w:t>
      </w:r>
      <w:hyperlink r:id="rId14" w:history="1">
        <w:r w:rsidRPr="00DE70C2">
          <w:t>https://www.ceproas.cz/vyberova-rizeni</w:t>
        </w:r>
      </w:hyperlink>
      <w:r w:rsidRPr="00DE70C2">
        <w:t xml:space="preserve"> a etické zásady, obsažené v Etickém kodexu.</w:t>
      </w:r>
    </w:p>
    <w:p w14:paraId="7DC6E1BB" w14:textId="3BED5C53" w:rsidR="00091755" w:rsidRDefault="00091755" w:rsidP="008D297B">
      <w:pPr>
        <w:pStyle w:val="Odstavecseseznamem"/>
        <w:numPr>
          <w:ilvl w:val="0"/>
          <w:numId w:val="32"/>
        </w:numPr>
        <w:suppressAutoHyphens/>
        <w:contextualSpacing w:val="0"/>
        <w:rPr>
          <w:rFonts w:cs="Arial"/>
        </w:rPr>
      </w:pPr>
      <w:r>
        <w:rPr>
          <w:rFonts w:cs="Arial"/>
        </w:rPr>
        <w:t>Dodavatel bere na vědomí a souhlasí s ujednáním smluvních pokut dle zadávací dokumentace zakázky č. 4</w:t>
      </w:r>
      <w:r w:rsidR="003D0B88">
        <w:rPr>
          <w:rFonts w:cs="Arial"/>
        </w:rPr>
        <w:t>7</w:t>
      </w:r>
      <w:r>
        <w:rPr>
          <w:rFonts w:cs="Arial"/>
        </w:rPr>
        <w:t>/25/OCN</w:t>
      </w:r>
      <w:r w:rsidR="008D297B">
        <w:rPr>
          <w:rFonts w:cs="Arial"/>
        </w:rPr>
        <w:t>:</w:t>
      </w:r>
    </w:p>
    <w:p w14:paraId="50028F78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E7673D">
        <w:rPr>
          <w:rFonts w:cs="Arial"/>
        </w:rPr>
        <w:t>Smluvní strana je oprávněna v případě prodlení druhé smluvní strany s úhradou peněžitého plnění požadovat úhradu úroku z prodlení v zákonné výši podle občanskoprávních předpisů.</w:t>
      </w:r>
    </w:p>
    <w:p w14:paraId="0D46D3C0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7946A8">
        <w:rPr>
          <w:rFonts w:cs="Arial"/>
        </w:rPr>
        <w:t xml:space="preserve">Bude-li dodavatel v prodlení se splněním termínu předání předmětu </w:t>
      </w:r>
      <w:r>
        <w:rPr>
          <w:rFonts w:cs="Arial"/>
        </w:rPr>
        <w:t xml:space="preserve">veřejné </w:t>
      </w:r>
      <w:r w:rsidRPr="007946A8">
        <w:rPr>
          <w:rFonts w:cs="Arial"/>
        </w:rPr>
        <w:t>zakázky</w:t>
      </w:r>
      <w:r>
        <w:rPr>
          <w:rFonts w:cs="Arial"/>
        </w:rPr>
        <w:t xml:space="preserve"> či její části</w:t>
      </w:r>
      <w:r w:rsidRPr="007946A8">
        <w:rPr>
          <w:rFonts w:cs="Arial"/>
        </w:rPr>
        <w:t xml:space="preserve"> z důvodu na své straně, je </w:t>
      </w:r>
      <w:r>
        <w:rPr>
          <w:rFonts w:cs="Arial"/>
        </w:rPr>
        <w:t>zadavatel</w:t>
      </w:r>
      <w:r w:rsidRPr="007946A8">
        <w:rPr>
          <w:rFonts w:cs="Arial"/>
        </w:rPr>
        <w:t xml:space="preserve"> oprávněn požadovat po dodavateli úhradu smluvní pokuty ve výši 0,05 % z Ceny plnění (tj. nabídkové ceny za předmět zakázky) za každý i započatý den prodlení</w:t>
      </w:r>
      <w:r>
        <w:rPr>
          <w:rFonts w:cs="Arial"/>
        </w:rPr>
        <w:t>.</w:t>
      </w:r>
    </w:p>
    <w:p w14:paraId="71362877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D93910">
        <w:rPr>
          <w:rFonts w:cs="Arial"/>
        </w:rPr>
        <w:t xml:space="preserve">Pokud dodavatel uvede nepravdivé údaje v čestném prohlášení o neexistenci střetu zájmů a pravdivosti údajů o skutečném majiteli, zavazuje se uhradit </w:t>
      </w:r>
      <w:r>
        <w:rPr>
          <w:rFonts w:cs="Arial"/>
        </w:rPr>
        <w:t>zadavateli</w:t>
      </w:r>
      <w:r w:rsidRPr="00D93910">
        <w:rPr>
          <w:rFonts w:cs="Arial"/>
        </w:rPr>
        <w:t xml:space="preserve"> smluvní pokutu ve výši ve výši 10 000,- Kč.</w:t>
      </w:r>
    </w:p>
    <w:p w14:paraId="45BB5484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D93910">
        <w:rPr>
          <w:rFonts w:cs="Arial"/>
        </w:rPr>
        <w:t xml:space="preserve">V případě, že dodavatel poruší povinnost informovat </w:t>
      </w:r>
      <w:r>
        <w:rPr>
          <w:rFonts w:cs="Arial"/>
        </w:rPr>
        <w:t>zadavatele</w:t>
      </w:r>
      <w:r w:rsidRPr="00D93910">
        <w:rPr>
          <w:rFonts w:cs="Arial"/>
        </w:rPr>
        <w:t xml:space="preserve"> o změně v zápisu údajů o jeho skutečném majiteli nebo o změně v zápisu údajů o skutečném majiteli poddodavatele, zavazuje se uhradit </w:t>
      </w:r>
      <w:r>
        <w:rPr>
          <w:rFonts w:cs="Arial"/>
        </w:rPr>
        <w:t>zadavateli</w:t>
      </w:r>
      <w:r w:rsidRPr="00D93910">
        <w:rPr>
          <w:rFonts w:cs="Arial"/>
        </w:rPr>
        <w:t xml:space="preserve"> smluvní pokutu ve výši 1 000,- Kč za každý započatý den prodlení s porušením této povinnosti, došlo-li v důsledku této změny k zápisu veřejného funkcionáře uvedeného v ust. § 2 odst. 1 písm. c) ZSZ jako skutečného majitele dodavatele nebo poddodavatele z titulu osoby s </w:t>
      </w:r>
      <w:r w:rsidRPr="00D93910">
        <w:rPr>
          <w:rFonts w:cs="Arial"/>
        </w:rPr>
        <w:lastRenderedPageBreak/>
        <w:t>koncovým vlivem, nebo smluvní pokutu ve výši ve výši 500,- Kč za každý započatý den prodlení s porušením této povinnosti, došlo-li v důsledku této změny k zápisu jakékoliv jiné změny.</w:t>
      </w:r>
    </w:p>
    <w:p w14:paraId="3EA62C63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6B4897">
        <w:rPr>
          <w:rFonts w:cs="Arial"/>
        </w:rPr>
        <w:t xml:space="preserve">Pokud dodavatel uvede nepravdivé údaje v čestném prohlášení o nepodléhání omezujícím opatřením, zavazuje se uhradit </w:t>
      </w:r>
      <w:r>
        <w:rPr>
          <w:rFonts w:cs="Arial"/>
        </w:rPr>
        <w:t>zadavateli</w:t>
      </w:r>
      <w:r w:rsidRPr="006B4897">
        <w:rPr>
          <w:rFonts w:cs="Arial"/>
        </w:rPr>
        <w:t xml:space="preserve"> smluvní pokutu ve výši ve výši 10 000,- Kč.</w:t>
      </w:r>
    </w:p>
    <w:p w14:paraId="0801A30A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6B4897">
        <w:rPr>
          <w:rFonts w:cs="Arial"/>
        </w:rPr>
        <w:t xml:space="preserve">V případě, že dodavatel poruší povinnost informovat </w:t>
      </w:r>
      <w:r>
        <w:rPr>
          <w:rFonts w:cs="Arial"/>
        </w:rPr>
        <w:t>zadavatele</w:t>
      </w:r>
      <w:r w:rsidRPr="006B4897">
        <w:rPr>
          <w:rFonts w:cs="Arial"/>
        </w:rPr>
        <w:t xml:space="preserve"> o změně údajů a skutečností, o nichž činil dodavatel čestné prohlášení o nepodléhání omezujícím opatřením, a které vedou k jeho nepravdivosti, zavazuje se uhradit </w:t>
      </w:r>
      <w:r>
        <w:rPr>
          <w:rFonts w:cs="Arial"/>
        </w:rPr>
        <w:t>zadavateli</w:t>
      </w:r>
      <w:r w:rsidRPr="006B4897">
        <w:rPr>
          <w:rFonts w:cs="Arial"/>
        </w:rPr>
        <w:t xml:space="preserve"> smluvní pokutu ve výši 1 000,- Kč za každý započatý den prodlení s porušením této povinnosti.</w:t>
      </w:r>
    </w:p>
    <w:p w14:paraId="41D87EA4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6B4897">
        <w:rPr>
          <w:rFonts w:cs="Arial"/>
        </w:rPr>
        <w:t>Pokud dodavatel neodstraní nedodělky či vady zjištěné při přejímacím řízení v dohodnutém termínu, je zadavatel oprávněn požadovat po dodavateli úhradu smluvní pokuty 500,- Kč za každý nedodělek či vadu a za každý den prodlení.</w:t>
      </w:r>
    </w:p>
    <w:p w14:paraId="297F2269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D5266E">
        <w:rPr>
          <w:rFonts w:cs="Arial"/>
        </w:rPr>
        <w:t>V případě porušení právních a ostatních obecně závazných předpisů k zajištění BOZP, PO, nakládání s odpady a vnitřních předpisů zadavatele, je zadavatel oprávněn požadovat po dodavateli úhradu smluvní pokuty ve výši stanovené v Registru bezpečnostních požadavků ČEPRO, a.s. (dále a výše též jen "Registr"), který tvoří nedílnou součást této zadávací dokumentace. Nestanoví-li Registr podle předchozí věty smluvní pokutu za příslušné porušení právních předpisů k zajištění BOZP a PO upravujících nakládání s odpady a/nebo vnitřních předpisů zadavatele, pak činí smluvní pokuta částku 5</w:t>
      </w:r>
      <w:r>
        <w:rPr>
          <w:rFonts w:cs="Arial"/>
        </w:rPr>
        <w:t xml:space="preserve"> </w:t>
      </w:r>
      <w:r w:rsidRPr="00D5266E">
        <w:rPr>
          <w:rFonts w:cs="Arial"/>
        </w:rPr>
        <w:t>000,- Kč za každý jednotlivý případ porušení. Porušení bude zaznamenáno v pracovním deníku a/nebo jiným vhodným způsobem oprávněným zástupcem zadavatele.</w:t>
      </w:r>
    </w:p>
    <w:p w14:paraId="0D57DEE7" w14:textId="77777777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 w:rsidRPr="00774D09">
        <w:rPr>
          <w:rFonts w:cs="Arial"/>
        </w:rPr>
        <w:t xml:space="preserve">Smluvní pokutu </w:t>
      </w:r>
      <w:r>
        <w:rPr>
          <w:rFonts w:cs="Arial"/>
        </w:rPr>
        <w:t xml:space="preserve">je oprávněna </w:t>
      </w:r>
      <w:r w:rsidRPr="00774D09">
        <w:rPr>
          <w:rFonts w:cs="Arial"/>
        </w:rPr>
        <w:t>vyúčt</w:t>
      </w:r>
      <w:r>
        <w:rPr>
          <w:rFonts w:cs="Arial"/>
        </w:rPr>
        <w:t>ovat</w:t>
      </w:r>
      <w:r w:rsidRPr="00774D09">
        <w:rPr>
          <w:rFonts w:cs="Arial"/>
        </w:rPr>
        <w:t xml:space="preserve"> oprávněná smluvní strana povinné smluvní straně písemnou formou. Povinná smluvní strana je povinna uhradit vyúčtované smluvní pokuty nejpozději do 30 dnů ode dne obdržení příslušného vyúčtování.</w:t>
      </w:r>
      <w:r>
        <w:rPr>
          <w:rFonts w:cs="Arial"/>
        </w:rPr>
        <w:t xml:space="preserve"> </w:t>
      </w:r>
      <w:r w:rsidRPr="000141DE">
        <w:rPr>
          <w:rFonts w:cs="Arial"/>
        </w:rPr>
        <w:t xml:space="preserve">Zaplacením jakékoli smluvní pokuty není dotčeno právo </w:t>
      </w:r>
      <w:r>
        <w:rPr>
          <w:rFonts w:cs="Arial"/>
        </w:rPr>
        <w:t>zadavatele</w:t>
      </w:r>
      <w:r w:rsidRPr="000141DE">
        <w:rPr>
          <w:rFonts w:cs="Arial"/>
        </w:rPr>
        <w:t xml:space="preserve"> požadovat na dodavateli náhradu škody, a to v plném rozsahu.</w:t>
      </w:r>
    </w:p>
    <w:p w14:paraId="36F5A638" w14:textId="7F0F05B4" w:rsidR="00277ADF" w:rsidRDefault="00277ADF" w:rsidP="008D297B">
      <w:pPr>
        <w:pStyle w:val="Odstavecseseznamem"/>
        <w:numPr>
          <w:ilvl w:val="1"/>
          <w:numId w:val="32"/>
        </w:numPr>
        <w:suppressAutoHyphens/>
        <w:contextualSpacing w:val="0"/>
        <w:rPr>
          <w:rFonts w:cs="Arial"/>
        </w:rPr>
      </w:pPr>
      <w:r>
        <w:rPr>
          <w:rFonts w:cs="Arial"/>
        </w:rPr>
        <w:t>S</w:t>
      </w:r>
      <w:r w:rsidRPr="00DD698D">
        <w:t>mluvní strany s</w:t>
      </w:r>
      <w:r>
        <w:t>ouhlasí</w:t>
      </w:r>
      <w:r w:rsidRPr="00DD698D">
        <w:t>, že v případě vzájemného souhlasu, je možné smluvní pokutu vyrovnat odpovídajícím věcným či jiným plněním. Tento souhlas musí být písemný a musí v něm být vyúčtována výše smluvní pokuty a přesně specifikováno, jakým věcným či jiným plněním bude smluvní pokuta vyrovnána.</w:t>
      </w:r>
    </w:p>
    <w:p w14:paraId="51CECD07" w14:textId="77777777" w:rsidR="00091755" w:rsidRDefault="00091755" w:rsidP="00091755">
      <w:pPr>
        <w:jc w:val="both"/>
        <w:rPr>
          <w:rFonts w:ascii="Arial" w:eastAsia="Calibri" w:hAnsi="Arial" w:cs="Arial"/>
        </w:rPr>
      </w:pPr>
    </w:p>
    <w:p w14:paraId="059C5665" w14:textId="77777777" w:rsidR="00091755" w:rsidRDefault="00091755" w:rsidP="00091755">
      <w:pPr>
        <w:jc w:val="both"/>
        <w:rPr>
          <w:rFonts w:ascii="Arial" w:eastAsia="Calibri" w:hAnsi="Arial" w:cs="Arial"/>
        </w:rPr>
      </w:pPr>
    </w:p>
    <w:p w14:paraId="59AB13CB" w14:textId="77777777" w:rsidR="00091755" w:rsidRPr="007234C1" w:rsidRDefault="00091755" w:rsidP="00091755">
      <w:pPr>
        <w:jc w:val="both"/>
        <w:rPr>
          <w:rFonts w:ascii="Arial" w:eastAsia="Calibri" w:hAnsi="Arial" w:cs="Arial"/>
        </w:rPr>
      </w:pPr>
    </w:p>
    <w:p w14:paraId="132327F1" w14:textId="77777777" w:rsidR="00091755" w:rsidRPr="004F04BA" w:rsidRDefault="00091755" w:rsidP="00091755">
      <w:pPr>
        <w:jc w:val="both"/>
        <w:rPr>
          <w:rFonts w:ascii="Arial" w:hAnsi="Arial" w:cs="Arial"/>
        </w:rPr>
      </w:pPr>
    </w:p>
    <w:p w14:paraId="46C0102F" w14:textId="2D2E4058" w:rsidR="00091755" w:rsidRPr="004F04BA" w:rsidRDefault="00091755" w:rsidP="0009175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</w:t>
      </w:r>
      <w:r>
        <w:rPr>
          <w:rFonts w:ascii="Arial" w:eastAsia="Calibri" w:hAnsi="Arial" w:cs="Arial"/>
          <w:lang w:eastAsia="en-US"/>
        </w:rPr>
        <w:t xml:space="preserve">a veškeré údaje v něm učiněné </w:t>
      </w:r>
      <w:r w:rsidRPr="004F04BA">
        <w:rPr>
          <w:rFonts w:ascii="Arial" w:eastAsia="Calibri" w:hAnsi="Arial" w:cs="Arial"/>
          <w:lang w:eastAsia="en-US"/>
        </w:rPr>
        <w:t xml:space="preserve">činí </w:t>
      </w:r>
      <w:r w:rsidR="00B965F8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A3CD" w14:textId="77777777" w:rsidR="006E62C0" w:rsidRDefault="006E62C0" w:rsidP="00255D66">
      <w:r>
        <w:separator/>
      </w:r>
    </w:p>
  </w:endnote>
  <w:endnote w:type="continuationSeparator" w:id="0">
    <w:p w14:paraId="7152CF98" w14:textId="77777777" w:rsidR="006E62C0" w:rsidRDefault="006E62C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46BE4" w14:textId="77777777" w:rsidR="006E62C0" w:rsidRDefault="006E62C0" w:rsidP="00255D66">
      <w:r>
        <w:separator/>
      </w:r>
    </w:p>
  </w:footnote>
  <w:footnote w:type="continuationSeparator" w:id="0">
    <w:p w14:paraId="5D9AA763" w14:textId="77777777" w:rsidR="006E62C0" w:rsidRDefault="006E62C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842DB3"/>
    <w:multiLevelType w:val="hybridMultilevel"/>
    <w:tmpl w:val="AD588EDA"/>
    <w:lvl w:ilvl="0" w:tplc="7FA2F1B0">
      <w:numFmt w:val="bullet"/>
      <w:lvlText w:val="-"/>
      <w:lvlJc w:val="left"/>
      <w:pPr>
        <w:ind w:left="1637" w:hanging="360"/>
      </w:pPr>
      <w:rPr>
        <w:rFonts w:ascii="Franklin Gothic Book" w:eastAsia="Times New Roman" w:hAnsi="Franklin Gothic Book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5562A"/>
    <w:multiLevelType w:val="multilevel"/>
    <w:tmpl w:val="8D64D14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0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8" w15:restartNumberingAfterBreak="0">
    <w:nsid w:val="306E1ED8"/>
    <w:multiLevelType w:val="hybridMultilevel"/>
    <w:tmpl w:val="F814AC80"/>
    <w:lvl w:ilvl="0" w:tplc="C4EAC1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A315DC"/>
    <w:multiLevelType w:val="multilevel"/>
    <w:tmpl w:val="78EED75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4B09"/>
    <w:multiLevelType w:val="hybridMultilevel"/>
    <w:tmpl w:val="B90EE4AA"/>
    <w:lvl w:ilvl="0" w:tplc="C846D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1052D"/>
    <w:multiLevelType w:val="hybridMultilevel"/>
    <w:tmpl w:val="CC1248B6"/>
    <w:lvl w:ilvl="0" w:tplc="BD2829F4">
      <w:start w:val="1"/>
      <w:numFmt w:val="lowerLetter"/>
      <w:lvlText w:val="%1)"/>
      <w:lvlJc w:val="left"/>
      <w:pPr>
        <w:ind w:left="288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DE08F7"/>
    <w:multiLevelType w:val="multilevel"/>
    <w:tmpl w:val="39E466F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0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4" w15:restartNumberingAfterBreak="0">
    <w:nsid w:val="76D768F4"/>
    <w:multiLevelType w:val="hybridMultilevel"/>
    <w:tmpl w:val="3E6077AC"/>
    <w:lvl w:ilvl="0" w:tplc="ED9E7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21"/>
  </w:num>
  <w:num w:numId="2" w16cid:durableId="164994350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25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6"/>
  </w:num>
  <w:num w:numId="5" w16cid:durableId="1727610092">
    <w:abstractNumId w:val="20"/>
  </w:num>
  <w:num w:numId="6" w16cid:durableId="1982728961">
    <w:abstractNumId w:val="0"/>
  </w:num>
  <w:num w:numId="7" w16cid:durableId="1196887972">
    <w:abstractNumId w:val="5"/>
  </w:num>
  <w:num w:numId="8" w16cid:durableId="197593061">
    <w:abstractNumId w:val="14"/>
  </w:num>
  <w:num w:numId="9" w16cid:durableId="1947348167">
    <w:abstractNumId w:val="1"/>
  </w:num>
  <w:num w:numId="10" w16cid:durableId="1641576669">
    <w:abstractNumId w:val="19"/>
  </w:num>
  <w:num w:numId="11" w16cid:durableId="824471377">
    <w:abstractNumId w:val="10"/>
  </w:num>
  <w:num w:numId="12" w16cid:durableId="167330841">
    <w:abstractNumId w:val="11"/>
  </w:num>
  <w:num w:numId="13" w16cid:durableId="58670505">
    <w:abstractNumId w:val="4"/>
  </w:num>
  <w:num w:numId="14" w16cid:durableId="845628460">
    <w:abstractNumId w:val="15"/>
  </w:num>
  <w:num w:numId="15" w16cid:durableId="930428426">
    <w:abstractNumId w:val="20"/>
  </w:num>
  <w:num w:numId="16" w16cid:durableId="386032013">
    <w:abstractNumId w:val="12"/>
  </w:num>
  <w:num w:numId="17" w16cid:durableId="1857038365">
    <w:abstractNumId w:val="20"/>
  </w:num>
  <w:num w:numId="18" w16cid:durableId="381906592">
    <w:abstractNumId w:val="20"/>
  </w:num>
  <w:num w:numId="19" w16cid:durableId="1509638654">
    <w:abstractNumId w:val="20"/>
  </w:num>
  <w:num w:numId="20" w16cid:durableId="259873505">
    <w:abstractNumId w:val="20"/>
  </w:num>
  <w:num w:numId="21" w16cid:durableId="1969775771">
    <w:abstractNumId w:val="22"/>
  </w:num>
  <w:num w:numId="22" w16cid:durableId="1176268325">
    <w:abstractNumId w:val="20"/>
  </w:num>
  <w:num w:numId="23" w16cid:durableId="262499368">
    <w:abstractNumId w:val="20"/>
  </w:num>
  <w:num w:numId="24" w16cid:durableId="1524826915">
    <w:abstractNumId w:val="20"/>
  </w:num>
  <w:num w:numId="25" w16cid:durableId="854004906">
    <w:abstractNumId w:val="17"/>
  </w:num>
  <w:num w:numId="26" w16cid:durableId="1163008946">
    <w:abstractNumId w:val="2"/>
  </w:num>
  <w:num w:numId="27" w16cid:durableId="2027630752">
    <w:abstractNumId w:val="6"/>
  </w:num>
  <w:num w:numId="28" w16cid:durableId="902373103">
    <w:abstractNumId w:val="20"/>
  </w:num>
  <w:num w:numId="29" w16cid:durableId="882910659">
    <w:abstractNumId w:val="13"/>
  </w:num>
  <w:num w:numId="30" w16cid:durableId="2049331465">
    <w:abstractNumId w:val="24"/>
  </w:num>
  <w:num w:numId="31" w16cid:durableId="948779159">
    <w:abstractNumId w:val="9"/>
  </w:num>
  <w:num w:numId="32" w16cid:durableId="765081525">
    <w:abstractNumId w:val="8"/>
  </w:num>
  <w:num w:numId="33" w16cid:durableId="1487480013">
    <w:abstractNumId w:val="3"/>
  </w:num>
  <w:num w:numId="34" w16cid:durableId="573055668">
    <w:abstractNumId w:val="7"/>
  </w:num>
  <w:num w:numId="35" w16cid:durableId="275989177">
    <w:abstractNumId w:val="23"/>
  </w:num>
  <w:num w:numId="36" w16cid:durableId="11984646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2B4F"/>
    <w:rsid w:val="000039E2"/>
    <w:rsid w:val="00015620"/>
    <w:rsid w:val="00017F71"/>
    <w:rsid w:val="00026FE4"/>
    <w:rsid w:val="00031CD1"/>
    <w:rsid w:val="00033409"/>
    <w:rsid w:val="00040D87"/>
    <w:rsid w:val="000611F7"/>
    <w:rsid w:val="00083AEB"/>
    <w:rsid w:val="0009091A"/>
    <w:rsid w:val="00091755"/>
    <w:rsid w:val="00093B2B"/>
    <w:rsid w:val="000A3A46"/>
    <w:rsid w:val="000C5AEB"/>
    <w:rsid w:val="000C6FCD"/>
    <w:rsid w:val="000E1536"/>
    <w:rsid w:val="000E3C0D"/>
    <w:rsid w:val="000E6FF9"/>
    <w:rsid w:val="000F4A27"/>
    <w:rsid w:val="000F6B0B"/>
    <w:rsid w:val="001047FF"/>
    <w:rsid w:val="0012110B"/>
    <w:rsid w:val="00121E20"/>
    <w:rsid w:val="0015122B"/>
    <w:rsid w:val="00163DE9"/>
    <w:rsid w:val="00164A57"/>
    <w:rsid w:val="0016684B"/>
    <w:rsid w:val="001869AB"/>
    <w:rsid w:val="001A7038"/>
    <w:rsid w:val="001B1029"/>
    <w:rsid w:val="001B37DF"/>
    <w:rsid w:val="001C213A"/>
    <w:rsid w:val="001C685F"/>
    <w:rsid w:val="001C6FBD"/>
    <w:rsid w:val="001D01CE"/>
    <w:rsid w:val="001D0F34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77ADF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30712E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0B88"/>
    <w:rsid w:val="003D5EF5"/>
    <w:rsid w:val="003F6743"/>
    <w:rsid w:val="00401320"/>
    <w:rsid w:val="00405847"/>
    <w:rsid w:val="00423CEA"/>
    <w:rsid w:val="0042570A"/>
    <w:rsid w:val="00440668"/>
    <w:rsid w:val="00451B81"/>
    <w:rsid w:val="0045351D"/>
    <w:rsid w:val="00467B70"/>
    <w:rsid w:val="00480EB2"/>
    <w:rsid w:val="004A1CF5"/>
    <w:rsid w:val="004A7970"/>
    <w:rsid w:val="004B6972"/>
    <w:rsid w:val="004E0DA9"/>
    <w:rsid w:val="004F7FDE"/>
    <w:rsid w:val="00502A53"/>
    <w:rsid w:val="00502F88"/>
    <w:rsid w:val="00512105"/>
    <w:rsid w:val="005279B5"/>
    <w:rsid w:val="00544391"/>
    <w:rsid w:val="0054645C"/>
    <w:rsid w:val="00574CBA"/>
    <w:rsid w:val="00586763"/>
    <w:rsid w:val="00594671"/>
    <w:rsid w:val="005A0854"/>
    <w:rsid w:val="005C3169"/>
    <w:rsid w:val="005C4AB6"/>
    <w:rsid w:val="005E048F"/>
    <w:rsid w:val="00602D4F"/>
    <w:rsid w:val="00604F1C"/>
    <w:rsid w:val="00610D4B"/>
    <w:rsid w:val="00611BC8"/>
    <w:rsid w:val="0061259A"/>
    <w:rsid w:val="00620988"/>
    <w:rsid w:val="00624422"/>
    <w:rsid w:val="00626B97"/>
    <w:rsid w:val="0062780A"/>
    <w:rsid w:val="00664654"/>
    <w:rsid w:val="00664E24"/>
    <w:rsid w:val="006672E5"/>
    <w:rsid w:val="0067538C"/>
    <w:rsid w:val="006764C0"/>
    <w:rsid w:val="00690A6E"/>
    <w:rsid w:val="0069303B"/>
    <w:rsid w:val="00695686"/>
    <w:rsid w:val="006957FA"/>
    <w:rsid w:val="006B1467"/>
    <w:rsid w:val="006B3B8A"/>
    <w:rsid w:val="006C6283"/>
    <w:rsid w:val="006C6D4E"/>
    <w:rsid w:val="006D1F9C"/>
    <w:rsid w:val="006D27B4"/>
    <w:rsid w:val="006E62C0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672FA"/>
    <w:rsid w:val="00773786"/>
    <w:rsid w:val="007803E4"/>
    <w:rsid w:val="00784554"/>
    <w:rsid w:val="00797888"/>
    <w:rsid w:val="007A571C"/>
    <w:rsid w:val="007A695E"/>
    <w:rsid w:val="007A6F7E"/>
    <w:rsid w:val="007B2593"/>
    <w:rsid w:val="007B25B1"/>
    <w:rsid w:val="007B6B2F"/>
    <w:rsid w:val="007C4F33"/>
    <w:rsid w:val="007C6E7A"/>
    <w:rsid w:val="007D380B"/>
    <w:rsid w:val="007D6F3A"/>
    <w:rsid w:val="007E050F"/>
    <w:rsid w:val="007F5485"/>
    <w:rsid w:val="007F6018"/>
    <w:rsid w:val="008064E4"/>
    <w:rsid w:val="008114E6"/>
    <w:rsid w:val="008310CE"/>
    <w:rsid w:val="0083272D"/>
    <w:rsid w:val="008770DA"/>
    <w:rsid w:val="00883847"/>
    <w:rsid w:val="00884FA3"/>
    <w:rsid w:val="008B2DAD"/>
    <w:rsid w:val="008C586D"/>
    <w:rsid w:val="008D1F92"/>
    <w:rsid w:val="008D2341"/>
    <w:rsid w:val="008D297B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261C7"/>
    <w:rsid w:val="00A31A13"/>
    <w:rsid w:val="00A3762D"/>
    <w:rsid w:val="00A51F12"/>
    <w:rsid w:val="00A57247"/>
    <w:rsid w:val="00A62FA3"/>
    <w:rsid w:val="00A8197C"/>
    <w:rsid w:val="00A85CC7"/>
    <w:rsid w:val="00A936AD"/>
    <w:rsid w:val="00AC7ED0"/>
    <w:rsid w:val="00AE227E"/>
    <w:rsid w:val="00AE7701"/>
    <w:rsid w:val="00AF3771"/>
    <w:rsid w:val="00B064F6"/>
    <w:rsid w:val="00B1136B"/>
    <w:rsid w:val="00B12702"/>
    <w:rsid w:val="00B22E64"/>
    <w:rsid w:val="00B40EA7"/>
    <w:rsid w:val="00B431CA"/>
    <w:rsid w:val="00B53C80"/>
    <w:rsid w:val="00B53E2A"/>
    <w:rsid w:val="00B542D6"/>
    <w:rsid w:val="00B55E54"/>
    <w:rsid w:val="00B6140E"/>
    <w:rsid w:val="00B63527"/>
    <w:rsid w:val="00B965F8"/>
    <w:rsid w:val="00BA0B72"/>
    <w:rsid w:val="00BA71B5"/>
    <w:rsid w:val="00BB7113"/>
    <w:rsid w:val="00BC76FF"/>
    <w:rsid w:val="00BD2F8F"/>
    <w:rsid w:val="00BD6ABD"/>
    <w:rsid w:val="00BF02C0"/>
    <w:rsid w:val="00C16C74"/>
    <w:rsid w:val="00C330D4"/>
    <w:rsid w:val="00C372CF"/>
    <w:rsid w:val="00C40C93"/>
    <w:rsid w:val="00C46CB0"/>
    <w:rsid w:val="00C46FDD"/>
    <w:rsid w:val="00C4741A"/>
    <w:rsid w:val="00C729ED"/>
    <w:rsid w:val="00C908F6"/>
    <w:rsid w:val="00C9132B"/>
    <w:rsid w:val="00C93FDD"/>
    <w:rsid w:val="00CC0645"/>
    <w:rsid w:val="00CC11FE"/>
    <w:rsid w:val="00CC2F69"/>
    <w:rsid w:val="00CE7422"/>
    <w:rsid w:val="00D02880"/>
    <w:rsid w:val="00D063CB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5FF9"/>
    <w:rsid w:val="00DD6000"/>
    <w:rsid w:val="00DF0177"/>
    <w:rsid w:val="00DF2A86"/>
    <w:rsid w:val="00DF58C9"/>
    <w:rsid w:val="00DF63B1"/>
    <w:rsid w:val="00E11E03"/>
    <w:rsid w:val="00E14E6D"/>
    <w:rsid w:val="00E15BD8"/>
    <w:rsid w:val="00E249DD"/>
    <w:rsid w:val="00E336B7"/>
    <w:rsid w:val="00E43E51"/>
    <w:rsid w:val="00E4571E"/>
    <w:rsid w:val="00E52553"/>
    <w:rsid w:val="00E55784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52DF1"/>
    <w:rsid w:val="00F54DAC"/>
    <w:rsid w:val="00F65ED6"/>
    <w:rsid w:val="00F67B0A"/>
    <w:rsid w:val="00F76BC9"/>
    <w:rsid w:val="00F8532D"/>
    <w:rsid w:val="00F924C5"/>
    <w:rsid w:val="00F94C38"/>
    <w:rsid w:val="00FA10D1"/>
    <w:rsid w:val="00FA288B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aliases w:val="Úroveň 1.,Hoofdstukkop,Section Heading,H1,No numbers,h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aliases w:val="Úroveň 1.1,Char Char Char,Char Char Char Char Char,m,Body Text (Reset numbering),Reset numbering,H2,h2,TF-Overskrit 2,h2 main heading,2m,h 2,B Sub/Bold,B Sub/Bold1,B Sub/Bold2,B Sub/Bold11,h2 main heading1,h2 main heading2,B Sub/Bold3,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,Dot pt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Hypertextovodkaz">
    <w:name w:val="Hyperlink"/>
    <w:basedOn w:val="Standardnpsmoodstavce"/>
    <w:uiPriority w:val="99"/>
    <w:unhideWhenUsed/>
    <w:rsid w:val="00091755"/>
    <w:rPr>
      <w:color w:val="0563C1" w:themeColor="hyperlink"/>
      <w:u w:val="single"/>
    </w:rPr>
  </w:style>
  <w:style w:type="paragraph" w:customStyle="1" w:styleId="NormalJustified">
    <w:name w:val="Normal (Justified)"/>
    <w:basedOn w:val="Normln"/>
    <w:rsid w:val="000C6FCD"/>
    <w:pPr>
      <w:widowControl w:val="0"/>
      <w:jc w:val="both"/>
    </w:pPr>
    <w:rPr>
      <w:rFonts w:ascii="Arial" w:hAnsi="Arial"/>
      <w:kern w:val="28"/>
      <w:sz w:val="20"/>
    </w:rPr>
  </w:style>
  <w:style w:type="paragraph" w:styleId="Obsah7">
    <w:name w:val="toc 7"/>
    <w:basedOn w:val="Normln"/>
    <w:next w:val="Normln"/>
    <w:autoRedefine/>
    <w:semiHidden/>
    <w:rsid w:val="00277ADF"/>
    <w:pPr>
      <w:ind w:left="1440"/>
      <w:jc w:val="both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epro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eproas.cz/vyberova-rizeni/zverejneni-poptave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proas.cz/vyberova-rize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1454</Words>
  <Characters>8585</Characters>
  <Application>Microsoft Office Word</Application>
  <DocSecurity>0</DocSecurity>
  <Lines>71</Lines>
  <Paragraphs>20</Paragraphs>
  <ScaleCrop>false</ScaleCrop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2025-03-12T10:03:00Z</dcterms:created>
  <dcterms:modified xsi:type="dcterms:W3CDTF">2025-03-21T10:32:00Z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